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972"/>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7" w:type="dxa"/>
            <w:vMerge w:val="restart"/>
            <w:noWrap w:val="0"/>
            <w:vAlign w:val="center"/>
          </w:tcPr>
          <w:p>
            <w:pPr>
              <w:spacing w:line="360" w:lineRule="auto"/>
              <w:rPr>
                <w:rFonts w:ascii="宋体" w:hAnsi="宋体" w:eastAsia="宋体"/>
                <w:b/>
                <w:bCs/>
              </w:rPr>
            </w:pPr>
            <w:bookmarkStart w:id="0" w:name="_Hlk148088962"/>
            <w:r>
              <w:rPr>
                <w:rFonts w:ascii="宋体" w:hAnsi="宋体" w:eastAsia="宋体"/>
                <w:b/>
              </w:rPr>
              <w:drawing>
                <wp:inline distT="0" distB="0" distL="114300" distR="114300">
                  <wp:extent cx="921385" cy="921385"/>
                  <wp:effectExtent l="0" t="0" r="5715" b="5715"/>
                  <wp:docPr id="2" name="图片 2" descr="微信图片_20230727074929"/>
                  <wp:cNvGraphicFramePr/>
                  <a:graphic xmlns:a="http://schemas.openxmlformats.org/drawingml/2006/main">
                    <a:graphicData uri="http://schemas.openxmlformats.org/drawingml/2006/picture">
                      <pic:pic xmlns:pic="http://schemas.openxmlformats.org/drawingml/2006/picture">
                        <pic:nvPicPr>
                          <pic:cNvPr id="2" name="图片 2" descr="微信图片_20230727074929"/>
                          <pic:cNvPicPr/>
                        </pic:nvPicPr>
                        <pic:blipFill>
                          <a:blip r:embed="rId4"/>
                          <a:stretch>
                            <a:fillRect/>
                          </a:stretch>
                        </pic:blipFill>
                        <pic:spPr>
                          <a:xfrm>
                            <a:off x="0" y="0"/>
                            <a:ext cx="921385" cy="921385"/>
                          </a:xfrm>
                          <a:prstGeom prst="rect">
                            <a:avLst/>
                          </a:prstGeom>
                          <a:noFill/>
                          <a:ln>
                            <a:noFill/>
                          </a:ln>
                        </pic:spPr>
                      </pic:pic>
                    </a:graphicData>
                  </a:graphic>
                </wp:inline>
              </w:drawing>
            </w:r>
          </w:p>
        </w:tc>
        <w:tc>
          <w:tcPr>
            <w:tcW w:w="1972" w:type="dxa"/>
            <w:noWrap w:val="0"/>
            <w:vAlign w:val="center"/>
          </w:tcPr>
          <w:p>
            <w:pPr>
              <w:spacing w:line="360" w:lineRule="auto"/>
              <w:jc w:val="center"/>
              <w:rPr>
                <w:rFonts w:ascii="宋体" w:hAnsi="宋体" w:eastAsia="宋体"/>
                <w:b/>
                <w:bCs/>
              </w:rPr>
            </w:pPr>
            <w:r>
              <w:rPr>
                <w:rFonts w:hint="eastAsia" w:ascii="宋体" w:hAnsi="宋体" w:eastAsia="宋体"/>
                <w:b/>
                <w:bCs/>
              </w:rPr>
              <w:t>文件名称</w:t>
            </w:r>
          </w:p>
        </w:tc>
        <w:tc>
          <w:tcPr>
            <w:tcW w:w="2410" w:type="dxa"/>
            <w:noWrap w:val="0"/>
            <w:vAlign w:val="center"/>
          </w:tcPr>
          <w:p>
            <w:pPr>
              <w:spacing w:line="360" w:lineRule="auto"/>
              <w:rPr>
                <w:rFonts w:ascii="宋体" w:hAnsi="宋体" w:eastAsia="宋体"/>
                <w:b/>
                <w:bCs/>
              </w:rPr>
            </w:pPr>
            <w:r>
              <w:rPr>
                <w:rFonts w:hint="eastAsia" w:ascii="宋体" w:hAnsi="宋体" w:eastAsia="宋体"/>
                <w:b/>
                <w:bCs/>
              </w:rPr>
              <w:t>文件类别：制度</w:t>
            </w:r>
          </w:p>
        </w:tc>
        <w:tc>
          <w:tcPr>
            <w:tcW w:w="3481" w:type="dxa"/>
            <w:noWrap w:val="0"/>
            <w:vAlign w:val="center"/>
          </w:tcPr>
          <w:p>
            <w:pPr>
              <w:spacing w:line="360" w:lineRule="auto"/>
              <w:rPr>
                <w:rFonts w:ascii="宋体" w:hAnsi="宋体" w:eastAsia="宋体"/>
                <w:b/>
                <w:bCs/>
              </w:rPr>
            </w:pPr>
            <w:r>
              <w:rPr>
                <w:rFonts w:hint="eastAsia" w:ascii="宋体" w:hAnsi="宋体" w:eastAsia="宋体"/>
                <w:b/>
                <w:bCs/>
              </w:rPr>
              <w:t>文件编号：</w:t>
            </w:r>
          </w:p>
          <w:p>
            <w:pPr>
              <w:spacing w:line="360" w:lineRule="auto"/>
              <w:rPr>
                <w:rFonts w:ascii="宋体" w:hAnsi="宋体" w:eastAsia="宋体"/>
                <w:b/>
                <w:bCs/>
              </w:rPr>
            </w:pPr>
            <w:r>
              <w:rPr>
                <w:rFonts w:hint="eastAsia" w:ascii="宋体" w:hAnsi="宋体" w:eastAsia="宋体"/>
                <w:b/>
                <w:bCs/>
              </w:rPr>
              <w:t>Y</w:t>
            </w:r>
            <w:r>
              <w:rPr>
                <w:rFonts w:ascii="宋体" w:hAnsi="宋体" w:eastAsia="宋体"/>
                <w:b/>
                <w:bCs/>
              </w:rPr>
              <w:t>ZF</w:t>
            </w:r>
            <w:r>
              <w:rPr>
                <w:rFonts w:hint="eastAsia" w:ascii="宋体" w:hAnsi="宋体" w:eastAsia="宋体"/>
                <w:b/>
                <w:bCs/>
              </w:rPr>
              <w:t>Y</w:t>
            </w:r>
            <w:r>
              <w:rPr>
                <w:rFonts w:ascii="宋体" w:hAnsi="宋体" w:eastAsia="宋体"/>
                <w:b/>
                <w:bCs/>
              </w:rPr>
              <w:t>/ZD/</w:t>
            </w:r>
            <w:r>
              <w:rPr>
                <w:rFonts w:hint="eastAsia" w:ascii="宋体" w:hAnsi="宋体" w:eastAsia="宋体"/>
                <w:b/>
                <w:bCs/>
              </w:rPr>
              <w:t>YJB</w:t>
            </w:r>
            <w:r>
              <w:rPr>
                <w:rFonts w:ascii="宋体" w:hAnsi="宋体" w:eastAsia="宋体"/>
                <w:b/>
                <w:bCs/>
              </w:rPr>
              <w:t>-</w:t>
            </w:r>
            <w:r>
              <w:rPr>
                <w:rFonts w:hint="eastAsia" w:ascii="宋体" w:hAnsi="宋体" w:eastAsia="宋体"/>
                <w:b/>
                <w:bCs/>
              </w:rPr>
              <w:t>2</w:t>
            </w:r>
            <w:r>
              <w:rPr>
                <w:rFonts w:ascii="宋体" w:hAnsi="宋体" w:eastAsia="宋体"/>
                <w:b/>
                <w:bCs/>
              </w:rPr>
              <w:t>4-</w:t>
            </w:r>
            <w:r>
              <w:rPr>
                <w:rFonts w:ascii="宋体" w:hAnsi="宋体" w:eastAsia="宋体"/>
                <w:b/>
                <w:bCs/>
                <w:color w:val="000000"/>
              </w:rPr>
              <w:t>A/</w:t>
            </w:r>
            <w:r>
              <w:rPr>
                <w:rFonts w:hint="eastAsia" w:ascii="宋体" w:hAnsi="宋体" w:eastAsia="宋体"/>
                <w:b/>
                <w:bCs/>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vMerge w:val="continue"/>
            <w:noWrap w:val="0"/>
            <w:vAlign w:val="center"/>
          </w:tcPr>
          <w:p>
            <w:pPr>
              <w:spacing w:line="360" w:lineRule="auto"/>
              <w:rPr>
                <w:rFonts w:ascii="宋体" w:hAnsi="宋体" w:eastAsia="宋体"/>
                <w:b/>
                <w:bCs/>
              </w:rPr>
            </w:pPr>
          </w:p>
        </w:tc>
        <w:tc>
          <w:tcPr>
            <w:tcW w:w="1972" w:type="dxa"/>
            <w:vMerge w:val="restart"/>
            <w:noWrap w:val="0"/>
            <w:vAlign w:val="center"/>
          </w:tcPr>
          <w:p>
            <w:pPr>
              <w:spacing w:line="360" w:lineRule="auto"/>
              <w:jc w:val="center"/>
              <w:rPr>
                <w:rFonts w:ascii="宋体" w:hAnsi="宋体" w:eastAsia="宋体"/>
                <w:b/>
                <w:bCs/>
              </w:rPr>
            </w:pPr>
            <w:r>
              <w:rPr>
                <w:rFonts w:hint="eastAsia" w:ascii="宋体" w:hAnsi="宋体" w:eastAsia="宋体"/>
                <w:b/>
                <w:bCs/>
              </w:rPr>
              <w:t>职工进修培训规定</w:t>
            </w:r>
          </w:p>
        </w:tc>
        <w:tc>
          <w:tcPr>
            <w:tcW w:w="2410" w:type="dxa"/>
            <w:noWrap w:val="0"/>
            <w:vAlign w:val="center"/>
          </w:tcPr>
          <w:p>
            <w:pPr>
              <w:spacing w:line="360" w:lineRule="auto"/>
              <w:rPr>
                <w:rFonts w:ascii="宋体" w:hAnsi="宋体" w:eastAsia="宋体"/>
                <w:b/>
                <w:bCs/>
              </w:rPr>
            </w:pPr>
            <w:r>
              <w:rPr>
                <w:rFonts w:hint="eastAsia" w:ascii="宋体" w:hAnsi="宋体" w:eastAsia="宋体"/>
                <w:b/>
                <w:bCs/>
              </w:rPr>
              <w:t>责任部门：医教部</w:t>
            </w:r>
          </w:p>
        </w:tc>
        <w:tc>
          <w:tcPr>
            <w:tcW w:w="3481" w:type="dxa"/>
            <w:noWrap w:val="0"/>
            <w:vAlign w:val="center"/>
          </w:tcPr>
          <w:p>
            <w:pPr>
              <w:spacing w:line="360" w:lineRule="auto"/>
              <w:rPr>
                <w:rFonts w:hint="eastAsia" w:ascii="宋体" w:hAnsi="宋体" w:eastAsia="宋体"/>
                <w:b/>
                <w:bCs/>
              </w:rPr>
            </w:pPr>
            <w:r>
              <w:rPr>
                <w:rFonts w:hint="eastAsia" w:ascii="宋体" w:hAnsi="宋体" w:eastAsia="宋体"/>
                <w:b/>
                <w:bCs/>
              </w:rPr>
              <w:t>定期更新：每年修订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vMerge w:val="continue"/>
            <w:noWrap w:val="0"/>
            <w:vAlign w:val="center"/>
          </w:tcPr>
          <w:p>
            <w:pPr>
              <w:spacing w:line="360" w:lineRule="auto"/>
              <w:rPr>
                <w:rFonts w:ascii="宋体" w:hAnsi="宋体" w:eastAsia="宋体"/>
                <w:b/>
                <w:bCs/>
              </w:rPr>
            </w:pPr>
          </w:p>
        </w:tc>
        <w:tc>
          <w:tcPr>
            <w:tcW w:w="1972" w:type="dxa"/>
            <w:vMerge w:val="continue"/>
            <w:noWrap w:val="0"/>
            <w:vAlign w:val="center"/>
          </w:tcPr>
          <w:p>
            <w:pPr>
              <w:spacing w:line="360" w:lineRule="auto"/>
              <w:rPr>
                <w:rFonts w:ascii="宋体" w:hAnsi="宋体" w:eastAsia="宋体"/>
                <w:b/>
                <w:bCs/>
              </w:rPr>
            </w:pPr>
          </w:p>
        </w:tc>
        <w:tc>
          <w:tcPr>
            <w:tcW w:w="2410" w:type="dxa"/>
            <w:noWrap w:val="0"/>
            <w:vAlign w:val="center"/>
          </w:tcPr>
          <w:p>
            <w:pPr>
              <w:spacing w:line="360" w:lineRule="auto"/>
              <w:rPr>
                <w:rFonts w:ascii="宋体" w:hAnsi="宋体" w:eastAsia="宋体"/>
                <w:b/>
                <w:bCs/>
              </w:rPr>
            </w:pPr>
            <w:r>
              <w:rPr>
                <w:rFonts w:hint="eastAsia" w:ascii="宋体" w:hAnsi="宋体" w:eastAsia="宋体"/>
                <w:b/>
                <w:bCs/>
              </w:rPr>
              <w:t>首发日期：2023-10-20</w:t>
            </w:r>
          </w:p>
        </w:tc>
        <w:tc>
          <w:tcPr>
            <w:tcW w:w="3481" w:type="dxa"/>
            <w:noWrap w:val="0"/>
            <w:vAlign w:val="center"/>
          </w:tcPr>
          <w:p>
            <w:pPr>
              <w:spacing w:line="360" w:lineRule="auto"/>
              <w:rPr>
                <w:rFonts w:ascii="宋体" w:hAnsi="宋体" w:eastAsia="宋体"/>
                <w:b/>
                <w:bCs/>
              </w:rPr>
            </w:pPr>
            <w:r>
              <w:rPr>
                <w:rFonts w:hint="eastAsia" w:ascii="宋体" w:hAnsi="宋体" w:eastAsia="宋体"/>
                <w:b/>
                <w:bCs/>
              </w:rPr>
              <w:t>附件：0个，共0页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7" w:type="dxa"/>
            <w:vMerge w:val="continue"/>
            <w:noWrap w:val="0"/>
            <w:vAlign w:val="center"/>
          </w:tcPr>
          <w:p>
            <w:pPr>
              <w:spacing w:line="360" w:lineRule="auto"/>
              <w:rPr>
                <w:rFonts w:ascii="宋体" w:hAnsi="宋体" w:eastAsia="宋体"/>
                <w:b/>
                <w:bCs/>
              </w:rPr>
            </w:pPr>
          </w:p>
        </w:tc>
        <w:tc>
          <w:tcPr>
            <w:tcW w:w="1972" w:type="dxa"/>
            <w:vMerge w:val="continue"/>
            <w:noWrap w:val="0"/>
            <w:vAlign w:val="center"/>
          </w:tcPr>
          <w:p>
            <w:pPr>
              <w:spacing w:line="360" w:lineRule="auto"/>
              <w:rPr>
                <w:rFonts w:ascii="宋体" w:hAnsi="宋体" w:eastAsia="宋体"/>
                <w:b/>
                <w:bCs/>
              </w:rPr>
            </w:pPr>
          </w:p>
        </w:tc>
        <w:tc>
          <w:tcPr>
            <w:tcW w:w="2410" w:type="dxa"/>
            <w:noWrap w:val="0"/>
            <w:vAlign w:val="center"/>
          </w:tcPr>
          <w:p>
            <w:pPr>
              <w:spacing w:line="360" w:lineRule="auto"/>
              <w:rPr>
                <w:rFonts w:ascii="宋体" w:hAnsi="宋体" w:eastAsia="宋体"/>
                <w:b/>
                <w:bCs/>
              </w:rPr>
            </w:pPr>
            <w:r>
              <w:rPr>
                <w:rFonts w:hint="eastAsia" w:ascii="宋体" w:hAnsi="宋体" w:eastAsia="宋体"/>
                <w:b/>
                <w:bCs/>
              </w:rPr>
              <w:t>新订日期：2023-10-20</w:t>
            </w:r>
          </w:p>
        </w:tc>
        <w:tc>
          <w:tcPr>
            <w:tcW w:w="3481" w:type="dxa"/>
            <w:noWrap w:val="0"/>
            <w:vAlign w:val="center"/>
          </w:tcPr>
          <w:p>
            <w:pPr>
              <w:spacing w:line="360" w:lineRule="auto"/>
              <w:rPr>
                <w:rFonts w:ascii="宋体" w:hAnsi="宋体" w:eastAsia="宋体"/>
                <w:b/>
                <w:bCs/>
              </w:rPr>
            </w:pPr>
            <w:r>
              <w:rPr>
                <w:rFonts w:hint="eastAsia" w:ascii="宋体" w:hAnsi="宋体" w:eastAsia="宋体"/>
                <w:b/>
                <w:bCs/>
              </w:rPr>
              <w:t>文件页码：共3页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0" w:type="dxa"/>
            <w:gridSpan w:val="4"/>
            <w:noWrap w:val="0"/>
            <w:vAlign w:val="center"/>
          </w:tcPr>
          <w:p>
            <w:pPr>
              <w:jc w:val="center"/>
              <w:rPr>
                <w:rFonts w:ascii="宋体" w:hAnsi="宋体" w:eastAsia="宋体"/>
                <w:b/>
                <w:bCs/>
                <w:sz w:val="28"/>
                <w:szCs w:val="28"/>
              </w:rPr>
            </w:pPr>
          </w:p>
          <w:p>
            <w:pPr>
              <w:jc w:val="center"/>
              <w:outlineLvl w:val="0"/>
              <w:rPr>
                <w:rFonts w:ascii="宋体" w:hAnsi="宋体" w:eastAsia="宋体"/>
                <w:b/>
                <w:bCs/>
                <w:sz w:val="28"/>
                <w:szCs w:val="28"/>
              </w:rPr>
            </w:pPr>
            <w:bookmarkStart w:id="5" w:name="_GoBack"/>
            <w:bookmarkStart w:id="1" w:name="_Toc146641086"/>
            <w:bookmarkStart w:id="2" w:name="_Toc12645"/>
            <w:bookmarkStart w:id="3" w:name="_Toc10508"/>
            <w:bookmarkStart w:id="4" w:name="_Toc148024318"/>
            <w:r>
              <w:rPr>
                <w:rFonts w:hint="eastAsia" w:ascii="宋体" w:hAnsi="宋体" w:eastAsia="宋体" w:cs="宋体"/>
                <w:b/>
                <w:bCs/>
                <w:color w:val="000000"/>
                <w:sz w:val="28"/>
                <w:szCs w:val="36"/>
              </w:rPr>
              <w:t>职工进修培训规定</w:t>
            </w:r>
            <w:bookmarkEnd w:id="5"/>
            <w:bookmarkEnd w:id="1"/>
            <w:bookmarkEnd w:id="2"/>
            <w:bookmarkEnd w:id="3"/>
            <w:bookmarkEnd w:id="4"/>
          </w:p>
          <w:p>
            <w:pPr>
              <w:numPr>
                <w:ilvl w:val="0"/>
                <w:numId w:val="1"/>
              </w:num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目的</w:t>
            </w:r>
          </w:p>
          <w:p>
            <w:pPr>
              <w:spacing w:line="360" w:lineRule="auto"/>
              <w:ind w:firstLine="480" w:firstLineChars="200"/>
              <w:rPr>
                <w:rFonts w:ascii="宋体" w:hAnsi="宋体" w:eastAsia="宋体" w:cs="宋体"/>
                <w:b/>
                <w:bCs/>
                <w:sz w:val="24"/>
                <w:szCs w:val="24"/>
                <w:lang w:bidi="ar"/>
              </w:rPr>
            </w:pPr>
            <w:r>
              <w:rPr>
                <w:rFonts w:hint="eastAsia" w:ascii="宋体" w:hAnsi="宋体" w:eastAsia="宋体" w:cs="宋体"/>
                <w:sz w:val="24"/>
                <w:szCs w:val="24"/>
                <w:lang w:bidi="ar"/>
              </w:rPr>
              <w:t>激励和支持各科室进一步提高学术技术和管理水平，积极引进新技术，开展新业务，提升医院整体医疗服务质量和服务水平。</w:t>
            </w:r>
          </w:p>
          <w:p>
            <w:pPr>
              <w:numPr>
                <w:ilvl w:val="0"/>
                <w:numId w:val="2"/>
              </w:num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定义</w:t>
            </w:r>
          </w:p>
          <w:p>
            <w:pPr>
              <w:spacing w:line="360" w:lineRule="auto"/>
              <w:ind w:firstLine="480" w:firstLineChars="200"/>
              <w:rPr>
                <w:rFonts w:ascii="宋体" w:hAnsi="宋体" w:eastAsia="宋体" w:cs="宋体"/>
                <w:b/>
                <w:bCs/>
                <w:sz w:val="24"/>
                <w:szCs w:val="24"/>
                <w:lang w:bidi="ar"/>
              </w:rPr>
            </w:pPr>
            <w:r>
              <w:rPr>
                <w:rFonts w:hint="eastAsia" w:ascii="宋体" w:hAnsi="宋体" w:eastAsia="宋体" w:cs="宋体"/>
                <w:sz w:val="24"/>
                <w:szCs w:val="24"/>
                <w:lang w:bidi="ar"/>
              </w:rPr>
              <w:t>为进一步加强人才培养和学科梯队建设，积极推动医院的可持续发展，特制定职工进修培训规定。</w:t>
            </w:r>
          </w:p>
          <w:p>
            <w:pPr>
              <w:numPr>
                <w:ilvl w:val="0"/>
                <w:numId w:val="2"/>
              </w:num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范围</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职工进修培训。</w:t>
            </w:r>
          </w:p>
          <w:p>
            <w:pPr>
              <w:numPr>
                <w:ilvl w:val="0"/>
                <w:numId w:val="2"/>
              </w:numPr>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内容</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选送进修培训原则</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坚持政治素质和业务水平并重、专业对口、按需培训、学用一致的原则。在不影响科室工作的前提下，由科室提出进修培训计划。</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进修培训申报程序</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（1）科室根据人才培养计划，每年12月初向医教部递交下一年度的进修培训计划及人员安排，经院长办公会研究审批后制定最终的进修培训计划，未在计划之内的人员不予审批。</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医教部负责督促、落实科室本年度进修计划，科室不得自行取消计划，不得让他人替代。计划内的人员依据科室工作实际情况，填写《职工外出进修审批表》，经科主任签字，医教部审批，院领导批准后到医教部和人事行政部办理相关手续和备案。</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（3）进修人员在离院前必须和医院签订《职工进修协议书》，进修培训结束回院时必须到医教部、人事行政部报到。</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w:t>
            </w:r>
            <w:r>
              <w:rPr>
                <w:rFonts w:hint="eastAsia" w:ascii="宋体" w:hAnsi="宋体" w:eastAsia="宋体" w:cs="宋体"/>
                <w:color w:val="000000"/>
                <w:sz w:val="24"/>
                <w:szCs w:val="24"/>
              </w:rPr>
              <w:t>进修培训期间待遇</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（1）职工在进修期间（外地进修），医院承担进修费和进</w:t>
            </w:r>
            <w:r>
              <w:rPr>
                <w:rFonts w:hint="eastAsia" w:ascii="宋体" w:hAnsi="宋体" w:eastAsia="宋体" w:cs="宋体"/>
                <w:color w:val="auto"/>
                <w:sz w:val="24"/>
                <w:szCs w:val="24"/>
              </w:rPr>
              <w:t>修补贴按医院相关规定执行、一次的往返路费，进修费和往返路费在进修结束后凭票履行财务签字手续后报销，不得</w:t>
            </w:r>
            <w:r>
              <w:rPr>
                <w:rFonts w:hint="eastAsia" w:ascii="宋体" w:hAnsi="宋体" w:eastAsia="宋体" w:cs="宋体"/>
                <w:color w:val="000000"/>
                <w:sz w:val="24"/>
                <w:szCs w:val="24"/>
              </w:rPr>
              <w:t>提前向医院借款。</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（2）职工进修培训期间，工资和福利待遇不变，效益奖金由科室自定。</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w:t>
            </w:r>
            <w:r>
              <w:rPr>
                <w:rFonts w:hint="eastAsia" w:ascii="宋体" w:hAnsi="宋体" w:eastAsia="宋体" w:cs="宋体"/>
                <w:color w:val="000000"/>
                <w:sz w:val="24"/>
                <w:szCs w:val="24"/>
              </w:rPr>
              <w:t>外出进修管理与具体要求</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职工外出进修或研修前需明确学习方向，来院时间满２年的医务人员方有资格申请外出进修培训；进修结束后的2年内不得再次申请，一次进修时间不得超过半年，同科室不得同时派出2名相同专业者外出进修。</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（2）进修单位原则上均应在省级以上医院。</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（3）职工完成进修任务后，需向医教部上交《进修总结和工作计划》后再办理报销手续，医教部视情况安排院内讲座。</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进修结束后返院工作不满2年者，不得提出调离、出国、申报统招研究生、辞职或停薪留职；坚决要求离开医院者，需交纳补偿费，除退还进修期间医院发放的工资和各项补贴外，每少一年，需向医院交纳补偿费10000元，否则不办理各类离院手续。</w:t>
            </w:r>
          </w:p>
          <w:p>
            <w:pPr>
              <w:spacing w:line="360" w:lineRule="auto"/>
              <w:ind w:firstLine="480" w:firstLineChars="200"/>
              <w:jc w:val="left"/>
              <w:rPr>
                <w:rFonts w:ascii="宋体" w:hAnsi="宋体" w:eastAsia="宋体" w:cs="宋体"/>
                <w:b/>
                <w:bCs/>
                <w:sz w:val="24"/>
                <w:szCs w:val="24"/>
                <w:lang w:bidi="ar"/>
              </w:rPr>
            </w:pPr>
            <w:r>
              <w:rPr>
                <w:rFonts w:hint="eastAsia" w:ascii="宋体" w:hAnsi="宋体" w:eastAsia="宋体" w:cs="宋体"/>
                <w:color w:val="000000"/>
                <w:sz w:val="24"/>
                <w:szCs w:val="24"/>
              </w:rPr>
              <w:t>（5）对进修返院后工作不认真，出现责任性事故或年终考核不合格者，视情节轻重令其退还部分直至全部进修期间医院发放的工资和各项补贴及学习期间其他费用。</w:t>
            </w:r>
          </w:p>
          <w:p>
            <w:pPr>
              <w:numPr>
                <w:ilvl w:val="0"/>
                <w:numId w:val="3"/>
              </w:numPr>
              <w:tabs>
                <w:tab w:val="left" w:pos="420"/>
              </w:tabs>
              <w:spacing w:line="360" w:lineRule="auto"/>
              <w:rPr>
                <w:rFonts w:ascii="宋体" w:hAnsi="宋体" w:eastAsia="宋体" w:cs="宋体"/>
                <w:b/>
                <w:bCs/>
                <w:sz w:val="24"/>
                <w:szCs w:val="24"/>
                <w:lang w:bidi="ar"/>
              </w:rPr>
            </w:pPr>
            <w:r>
              <w:rPr>
                <w:rFonts w:hint="eastAsia" w:ascii="宋体" w:hAnsi="宋体" w:eastAsia="宋体" w:cs="宋体"/>
                <w:b/>
                <w:bCs/>
                <w:sz w:val="24"/>
                <w:szCs w:val="24"/>
                <w:lang w:bidi="ar"/>
              </w:rPr>
              <w:t>参考文献</w:t>
            </w:r>
          </w:p>
          <w:p>
            <w:pPr>
              <w:tabs>
                <w:tab w:val="left" w:pos="420"/>
              </w:tabs>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《医务人员进修制度》</w:t>
            </w:r>
          </w:p>
          <w:p>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政策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《医德规范》</w:t>
            </w:r>
          </w:p>
          <w:p>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表单附件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无</w:t>
            </w:r>
          </w:p>
          <w:p>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权责</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270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857" w:type="dxa"/>
                  <w:noWrap w:val="0"/>
                  <w:vAlign w:val="top"/>
                </w:tcPr>
                <w:p>
                  <w:pPr>
                    <w:spacing w:line="360" w:lineRule="auto"/>
                    <w:rPr>
                      <w:rFonts w:ascii="宋体" w:hAnsi="宋体" w:eastAsia="宋体"/>
                      <w:sz w:val="24"/>
                      <w:szCs w:val="24"/>
                    </w:rPr>
                  </w:pPr>
                  <w:r>
                    <w:rPr>
                      <w:rFonts w:hint="eastAsia" w:ascii="宋体" w:hAnsi="宋体" w:eastAsia="宋体"/>
                      <w:sz w:val="24"/>
                      <w:szCs w:val="24"/>
                    </w:rPr>
                    <w:t>制定部门</w:t>
                  </w:r>
                </w:p>
              </w:tc>
              <w:tc>
                <w:tcPr>
                  <w:tcW w:w="2706" w:type="dxa"/>
                  <w:noWrap w:val="0"/>
                  <w:vAlign w:val="top"/>
                </w:tcPr>
                <w:p>
                  <w:pPr>
                    <w:spacing w:line="360" w:lineRule="auto"/>
                    <w:rPr>
                      <w:rFonts w:ascii="宋体" w:hAnsi="宋体" w:eastAsia="宋体"/>
                      <w:sz w:val="24"/>
                      <w:szCs w:val="24"/>
                    </w:rPr>
                  </w:pPr>
                  <w:r>
                    <w:rPr>
                      <w:rFonts w:hint="eastAsia" w:ascii="宋体" w:hAnsi="宋体" w:eastAsia="宋体"/>
                      <w:sz w:val="24"/>
                      <w:szCs w:val="24"/>
                    </w:rPr>
                    <w:t>制定人</w:t>
                  </w:r>
                </w:p>
              </w:tc>
              <w:tc>
                <w:tcPr>
                  <w:tcW w:w="2256" w:type="dxa"/>
                  <w:noWrap w:val="0"/>
                  <w:vAlign w:val="top"/>
                </w:tcPr>
                <w:p>
                  <w:pPr>
                    <w:spacing w:line="360" w:lineRule="auto"/>
                    <w:rPr>
                      <w:rFonts w:ascii="宋体" w:hAnsi="宋体" w:eastAsia="宋体"/>
                      <w:sz w:val="24"/>
                      <w:szCs w:val="24"/>
                    </w:rPr>
                  </w:pPr>
                  <w:r>
                    <w:rPr>
                      <w:rFonts w:hint="eastAsia" w:ascii="宋体" w:hAnsi="宋体" w:eastAsia="宋体"/>
                      <w:sz w:val="24"/>
                      <w:szCs w:val="24"/>
                    </w:rPr>
                    <w:t>核准人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57" w:type="dxa"/>
                  <w:noWrap w:val="0"/>
                  <w:vAlign w:val="center"/>
                </w:tcPr>
                <w:p>
                  <w:pPr>
                    <w:spacing w:line="360" w:lineRule="auto"/>
                    <w:rPr>
                      <w:rFonts w:ascii="宋体" w:hAnsi="宋体" w:eastAsia="宋体"/>
                      <w:sz w:val="24"/>
                      <w:szCs w:val="24"/>
                    </w:rPr>
                  </w:pPr>
                  <w:r>
                    <w:rPr>
                      <w:rFonts w:hint="eastAsia" w:ascii="宋体" w:hAnsi="宋体" w:eastAsia="宋体"/>
                      <w:sz w:val="24"/>
                      <w:szCs w:val="24"/>
                    </w:rPr>
                    <w:t>医教部</w:t>
                  </w:r>
                </w:p>
              </w:tc>
              <w:tc>
                <w:tcPr>
                  <w:tcW w:w="2706" w:type="dxa"/>
                  <w:noWrap w:val="0"/>
                  <w:vAlign w:val="top"/>
                </w:tcPr>
                <w:p>
                  <w:pPr>
                    <w:spacing w:line="360" w:lineRule="auto"/>
                    <w:rPr>
                      <w:rFonts w:ascii="宋体" w:hAnsi="宋体" w:eastAsia="宋体"/>
                      <w:sz w:val="24"/>
                      <w:szCs w:val="24"/>
                    </w:rPr>
                  </w:pPr>
                  <w:r>
                    <w:rPr>
                      <w:rFonts w:hint="eastAsia" w:ascii="宋体" w:hAnsi="宋体" w:eastAsia="宋体"/>
                      <w:sz w:val="24"/>
                      <w:szCs w:val="24"/>
                    </w:rPr>
                    <w:t>赵晓航</w:t>
                  </w:r>
                </w:p>
              </w:tc>
              <w:tc>
                <w:tcPr>
                  <w:tcW w:w="2256" w:type="dxa"/>
                  <w:noWrap w:val="0"/>
                  <w:vAlign w:val="top"/>
                </w:tcPr>
                <w:p>
                  <w:pPr>
                    <w:spacing w:line="360" w:lineRule="auto"/>
                    <w:rPr>
                      <w:rFonts w:ascii="宋体" w:hAnsi="宋体" w:eastAsia="宋体"/>
                      <w:sz w:val="24"/>
                      <w:szCs w:val="24"/>
                    </w:rPr>
                  </w:pPr>
                  <w:r>
                    <w:rPr>
                      <w:rFonts w:hint="eastAsia" w:ascii="宋体" w:hAnsi="宋体" w:eastAsia="宋体"/>
                      <w:sz w:val="24"/>
                      <w:szCs w:val="24"/>
                    </w:rPr>
                    <w:t>穆维新</w:t>
                  </w:r>
                </w:p>
              </w:tc>
            </w:tr>
          </w:tbl>
          <w:p>
            <w:pPr>
              <w:numPr>
                <w:ilvl w:val="0"/>
                <w:numId w:val="4"/>
              </w:numPr>
              <w:spacing w:line="360" w:lineRule="auto"/>
              <w:rPr>
                <w:rFonts w:ascii="宋体" w:hAnsi="宋体" w:eastAsia="宋体"/>
                <w:b/>
                <w:bCs/>
                <w:color w:val="000000"/>
                <w:sz w:val="24"/>
                <w:szCs w:val="24"/>
              </w:rPr>
            </w:pPr>
            <w:r>
              <w:rPr>
                <w:rFonts w:hint="eastAsia" w:ascii="宋体" w:hAnsi="宋体" w:eastAsia="宋体"/>
                <w:b/>
                <w:bCs/>
                <w:color w:val="000000"/>
                <w:sz w:val="24"/>
                <w:szCs w:val="24"/>
              </w:rPr>
              <w:t>审核</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274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00" w:type="dxa"/>
                  <w:noWrap w:val="0"/>
                  <w:vAlign w:val="top"/>
                </w:tcPr>
                <w:p>
                  <w:pPr>
                    <w:spacing w:line="360" w:lineRule="auto"/>
                    <w:rPr>
                      <w:rFonts w:ascii="宋体" w:hAnsi="宋体" w:eastAsia="宋体"/>
                      <w:sz w:val="24"/>
                      <w:szCs w:val="24"/>
                    </w:rPr>
                  </w:pPr>
                  <w:r>
                    <w:rPr>
                      <w:rFonts w:hint="eastAsia" w:ascii="宋体" w:hAnsi="宋体" w:eastAsia="宋体"/>
                      <w:sz w:val="24"/>
                      <w:szCs w:val="24"/>
                    </w:rPr>
                    <w:t>审核部门</w:t>
                  </w:r>
                </w:p>
              </w:tc>
              <w:tc>
                <w:tcPr>
                  <w:tcW w:w="2747" w:type="dxa"/>
                  <w:noWrap w:val="0"/>
                  <w:vAlign w:val="top"/>
                </w:tcPr>
                <w:p>
                  <w:pPr>
                    <w:spacing w:line="360" w:lineRule="auto"/>
                    <w:rPr>
                      <w:rFonts w:ascii="宋体" w:hAnsi="宋体" w:eastAsia="宋体"/>
                      <w:sz w:val="24"/>
                      <w:szCs w:val="24"/>
                    </w:rPr>
                  </w:pPr>
                  <w:r>
                    <w:rPr>
                      <w:rFonts w:hint="eastAsia" w:ascii="宋体" w:hAnsi="宋体" w:eastAsia="宋体"/>
                      <w:sz w:val="24"/>
                      <w:szCs w:val="24"/>
                    </w:rPr>
                    <w:t>审核人</w:t>
                  </w:r>
                </w:p>
              </w:tc>
              <w:tc>
                <w:tcPr>
                  <w:tcW w:w="2291" w:type="dxa"/>
                  <w:noWrap w:val="0"/>
                  <w:vAlign w:val="top"/>
                </w:tcPr>
                <w:p>
                  <w:pPr>
                    <w:spacing w:line="360" w:lineRule="auto"/>
                    <w:rPr>
                      <w:rFonts w:ascii="宋体" w:hAnsi="宋体" w:eastAsia="宋体"/>
                      <w:sz w:val="24"/>
                      <w:szCs w:val="24"/>
                    </w:rPr>
                  </w:pPr>
                  <w:r>
                    <w:rPr>
                      <w:rFonts w:hint="eastAsia" w:ascii="宋体" w:hAnsi="宋体" w:eastAsia="宋体"/>
                      <w:sz w:val="24"/>
                      <w:szCs w:val="24"/>
                    </w:rPr>
                    <w:t>核准日期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00" w:type="dxa"/>
                  <w:vMerge w:val="restart"/>
                  <w:noWrap w:val="0"/>
                  <w:vAlign w:val="center"/>
                </w:tcPr>
                <w:p>
                  <w:pPr>
                    <w:spacing w:line="360" w:lineRule="auto"/>
                    <w:rPr>
                      <w:rFonts w:ascii="宋体" w:hAnsi="宋体" w:eastAsia="宋体"/>
                      <w:sz w:val="24"/>
                      <w:szCs w:val="24"/>
                    </w:rPr>
                  </w:pPr>
                  <w:r>
                    <w:rPr>
                      <w:rFonts w:hint="eastAsia" w:ascii="宋体" w:hAnsi="宋体" w:eastAsia="宋体"/>
                      <w:sz w:val="24"/>
                      <w:szCs w:val="24"/>
                    </w:rPr>
                    <w:t>医教部</w:t>
                  </w:r>
                </w:p>
              </w:tc>
              <w:tc>
                <w:tcPr>
                  <w:tcW w:w="2747" w:type="dxa"/>
                  <w:noWrap w:val="0"/>
                  <w:vAlign w:val="top"/>
                </w:tcPr>
                <w:p>
                  <w:pPr>
                    <w:spacing w:line="360" w:lineRule="auto"/>
                    <w:rPr>
                      <w:rFonts w:ascii="宋体" w:hAnsi="宋体" w:eastAsia="宋体"/>
                      <w:sz w:val="24"/>
                      <w:szCs w:val="24"/>
                    </w:rPr>
                  </w:pPr>
                  <w:r>
                    <w:rPr>
                      <w:rFonts w:hint="eastAsia" w:ascii="宋体" w:hAnsi="宋体" w:eastAsia="宋体"/>
                      <w:sz w:val="24"/>
                      <w:szCs w:val="24"/>
                    </w:rPr>
                    <w:t>主任：姚媛</w:t>
                  </w:r>
                </w:p>
              </w:tc>
              <w:tc>
                <w:tcPr>
                  <w:tcW w:w="2291" w:type="dxa"/>
                  <w:vMerge w:val="restart"/>
                  <w:noWrap w:val="0"/>
                  <w:vAlign w:val="center"/>
                </w:tcPr>
                <w:p>
                  <w:pPr>
                    <w:spacing w:line="360" w:lineRule="auto"/>
                    <w:rPr>
                      <w:rFonts w:ascii="宋体" w:hAnsi="宋体" w:eastAsia="宋体"/>
                      <w:sz w:val="24"/>
                      <w:szCs w:val="24"/>
                    </w:rPr>
                  </w:pPr>
                  <w:r>
                    <w:rPr>
                      <w:rFonts w:hint="eastAsia" w:ascii="宋体" w:hAnsi="宋体" w:eastAsia="宋体"/>
                      <w:sz w:val="24"/>
                      <w:szCs w:val="24"/>
                    </w:rPr>
                    <w:t>2023-10-20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00" w:type="dxa"/>
                  <w:vMerge w:val="continue"/>
                  <w:noWrap w:val="0"/>
                  <w:vAlign w:val="center"/>
                </w:tcPr>
                <w:p>
                  <w:pPr>
                    <w:spacing w:line="360" w:lineRule="auto"/>
                    <w:rPr>
                      <w:rFonts w:ascii="宋体" w:hAnsi="宋体" w:eastAsia="宋体"/>
                      <w:sz w:val="24"/>
                      <w:szCs w:val="24"/>
                    </w:rPr>
                  </w:pPr>
                </w:p>
              </w:tc>
              <w:tc>
                <w:tcPr>
                  <w:tcW w:w="2747" w:type="dxa"/>
                  <w:noWrap w:val="0"/>
                  <w:vAlign w:val="top"/>
                </w:tcPr>
                <w:p>
                  <w:pPr>
                    <w:spacing w:line="360" w:lineRule="auto"/>
                    <w:rPr>
                      <w:rFonts w:ascii="宋体" w:hAnsi="宋体" w:eastAsia="宋体"/>
                      <w:sz w:val="24"/>
                      <w:szCs w:val="24"/>
                    </w:rPr>
                  </w:pPr>
                  <w:r>
                    <w:rPr>
                      <w:rFonts w:hint="eastAsia" w:ascii="宋体" w:hAnsi="宋体" w:eastAsia="宋体"/>
                      <w:sz w:val="24"/>
                      <w:szCs w:val="24"/>
                    </w:rPr>
                    <w:t>院长：张霞</w:t>
                  </w:r>
                </w:p>
              </w:tc>
              <w:tc>
                <w:tcPr>
                  <w:tcW w:w="2291" w:type="dxa"/>
                  <w:vMerge w:val="continue"/>
                  <w:noWrap w:val="0"/>
                  <w:vAlign w:val="top"/>
                </w:tcPr>
                <w:p>
                  <w:pPr>
                    <w:spacing w:line="360" w:lineRule="auto"/>
                    <w:rPr>
                      <w:rFonts w:ascii="宋体" w:hAnsi="宋体" w:eastAsia="宋体"/>
                      <w:sz w:val="24"/>
                      <w:szCs w:val="24"/>
                    </w:rPr>
                  </w:pPr>
                </w:p>
              </w:tc>
            </w:tr>
          </w:tbl>
          <w:p>
            <w:pPr>
              <w:spacing w:line="360" w:lineRule="auto"/>
              <w:rPr>
                <w:rFonts w:ascii="宋体" w:hAnsi="宋体" w:eastAsia="宋体"/>
                <w:b/>
                <w:bCs/>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A53A8"/>
    <w:multiLevelType w:val="singleLevel"/>
    <w:tmpl w:val="B05A53A8"/>
    <w:lvl w:ilvl="0" w:tentative="0">
      <w:start w:val="1"/>
      <w:numFmt w:val="chineseCounting"/>
      <w:suff w:val="nothing"/>
      <w:lvlText w:val="%1、"/>
      <w:lvlJc w:val="left"/>
      <w:rPr>
        <w:rFonts w:hint="eastAsia"/>
      </w:rPr>
    </w:lvl>
  </w:abstractNum>
  <w:abstractNum w:abstractNumId="1">
    <w:nsid w:val="C2CAF8F6"/>
    <w:multiLevelType w:val="singleLevel"/>
    <w:tmpl w:val="C2CAF8F6"/>
    <w:lvl w:ilvl="0" w:tentative="0">
      <w:start w:val="5"/>
      <w:numFmt w:val="chineseCounting"/>
      <w:suff w:val="nothing"/>
      <w:lvlText w:val="%1、"/>
      <w:lvlJc w:val="left"/>
      <w:pPr>
        <w:ind w:left="0" w:firstLine="0"/>
      </w:pPr>
      <w:rPr>
        <w:rFonts w:hint="eastAsia"/>
      </w:rPr>
    </w:lvl>
  </w:abstractNum>
  <w:abstractNum w:abstractNumId="2">
    <w:nsid w:val="C828279C"/>
    <w:multiLevelType w:val="singleLevel"/>
    <w:tmpl w:val="C828279C"/>
    <w:lvl w:ilvl="0" w:tentative="0">
      <w:start w:val="9"/>
      <w:numFmt w:val="chineseCounting"/>
      <w:suff w:val="nothing"/>
      <w:lvlText w:val="%1、"/>
      <w:lvlJc w:val="left"/>
      <w:pPr>
        <w:ind w:left="0" w:firstLine="0"/>
      </w:pPr>
      <w:rPr>
        <w:rFonts w:hint="eastAsia"/>
      </w:rPr>
    </w:lvl>
  </w:abstractNum>
  <w:abstractNum w:abstractNumId="3">
    <w:nsid w:val="1A29AB56"/>
    <w:multiLevelType w:val="singleLevel"/>
    <w:tmpl w:val="1A29AB5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jAwYzFhMGViODAyZDAyYWJkMmE0MmQzOWQwZDcifQ=="/>
  </w:docVars>
  <w:rsids>
    <w:rsidRoot w:val="2F440C8C"/>
    <w:rsid w:val="2F44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2023-12-05T01:12:00Z</dcterms:created>
  <dc:creator>是雾总会散</dc:creator>
  <cp:lastModifiedBy>是雾总会散</cp:lastModifiedBy>
  <dcterms:modified xsi:type="dcterms:W3CDTF">2023-12-05T01:14:58Z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2FF9C7BC01224194B93B5D017D5AAA4D_11</vt:lpwstr>
  </property>
</Properties>
</file>